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F257" w14:textId="77777777" w:rsidR="00ED58E4" w:rsidRDefault="00ED58E4"/>
    <w:p w14:paraId="05A9B428" w14:textId="2D16A659" w:rsidR="00ED58E4" w:rsidRPr="006143C4" w:rsidRDefault="00DC74EF">
      <w:pPr>
        <w:rPr>
          <w:b/>
          <w:bCs/>
        </w:rPr>
      </w:pPr>
      <w:r w:rsidRPr="00DC74EF">
        <w:rPr>
          <w:b/>
          <w:bCs/>
        </w:rPr>
        <w:t>Guidelines for Ready-to-Sequence Illumina libraries</w:t>
      </w:r>
    </w:p>
    <w:p w14:paraId="42379BF0" w14:textId="21490398" w:rsidR="00ED58E4" w:rsidRDefault="00ED58E4" w:rsidP="006143C4">
      <w:pPr>
        <w:pStyle w:val="ListParagraph"/>
        <w:numPr>
          <w:ilvl w:val="0"/>
          <w:numId w:val="1"/>
        </w:numPr>
      </w:pPr>
      <w:r w:rsidRPr="00DC74EF">
        <w:t xml:space="preserve">Ready-to-run </w:t>
      </w:r>
      <w:r w:rsidR="00DC74EF" w:rsidRPr="00DC74EF">
        <w:rPr>
          <w:lang w:val="en"/>
        </w:rPr>
        <w:t>libraries</w:t>
      </w:r>
      <w:r w:rsidRPr="00DC74EF">
        <w:rPr>
          <w:lang w:val="en"/>
        </w:rPr>
        <w:t xml:space="preserve"> must </w:t>
      </w:r>
      <w:r w:rsidR="001465AB">
        <w:rPr>
          <w:lang w:val="en"/>
        </w:rPr>
        <w:t xml:space="preserve">not </w:t>
      </w:r>
      <w:r w:rsidRPr="00DC74EF">
        <w:t>contain primer-dimers</w:t>
      </w:r>
      <w:r w:rsidR="001465AB">
        <w:t xml:space="preserve"> or </w:t>
      </w:r>
      <w:r w:rsidR="006143C4" w:rsidRPr="00DC74EF">
        <w:t>adapter-dimer peak (around 120 bp) on the Bioanalyzer trace</w:t>
      </w:r>
      <w:r w:rsidRPr="00DC74EF">
        <w:t>.</w:t>
      </w:r>
    </w:p>
    <w:p w14:paraId="03615FCF" w14:textId="799EDBCF" w:rsidR="00DC74EF" w:rsidRPr="00DC74EF" w:rsidRDefault="00DC74EF" w:rsidP="00DC74EF">
      <w:pPr>
        <w:pStyle w:val="ListParagraph"/>
        <w:numPr>
          <w:ilvl w:val="0"/>
          <w:numId w:val="1"/>
        </w:numPr>
      </w:pPr>
      <w:r>
        <w:t xml:space="preserve">We will not </w:t>
      </w:r>
      <w:r w:rsidR="005E1159">
        <w:t>perform</w:t>
      </w:r>
      <w:r>
        <w:t xml:space="preserve"> any additional clean up or library size selection for your </w:t>
      </w:r>
      <w:r w:rsidR="006143C4">
        <w:t xml:space="preserve">libraries. </w:t>
      </w:r>
    </w:p>
    <w:p w14:paraId="3C8731E6" w14:textId="3004C357" w:rsidR="00250662" w:rsidRPr="00DC74EF" w:rsidRDefault="00250662" w:rsidP="00DC74EF">
      <w:pPr>
        <w:pStyle w:val="ListParagraph"/>
        <w:numPr>
          <w:ilvl w:val="0"/>
          <w:numId w:val="1"/>
        </w:numPr>
      </w:pPr>
      <w:r w:rsidRPr="00DC74EF">
        <w:t xml:space="preserve">The standard requirements for library submission are at least 15 ul volume at a concentration of 5 </w:t>
      </w:r>
      <w:proofErr w:type="spellStart"/>
      <w:r w:rsidRPr="00DC74EF">
        <w:t>nM</w:t>
      </w:r>
      <w:r w:rsidR="006143C4">
        <w:t>.</w:t>
      </w:r>
      <w:proofErr w:type="spellEnd"/>
      <w:r w:rsidR="006143C4">
        <w:t xml:space="preserve"> Specific instrument requirements are listed below. </w:t>
      </w:r>
      <w:r w:rsidRPr="00DC74EF">
        <w:t> </w:t>
      </w:r>
    </w:p>
    <w:p w14:paraId="6295056A" w14:textId="18DC5D93" w:rsidR="00655447" w:rsidRPr="00DC74EF" w:rsidRDefault="00ED7148" w:rsidP="00DC74EF">
      <w:pPr>
        <w:pStyle w:val="ListParagraph"/>
        <w:numPr>
          <w:ilvl w:val="0"/>
          <w:numId w:val="1"/>
        </w:numPr>
      </w:pPr>
      <w:r>
        <w:t>Please r</w:t>
      </w:r>
      <w:r w:rsidR="006143C4">
        <w:t>ecommen</w:t>
      </w:r>
      <w:r>
        <w:t>d</w:t>
      </w:r>
      <w:r w:rsidR="006143C4">
        <w:t xml:space="preserve"> </w:t>
      </w:r>
      <w:proofErr w:type="spellStart"/>
      <w:r w:rsidR="00EC619C" w:rsidRPr="00DC74EF">
        <w:t>PhiX</w:t>
      </w:r>
      <w:proofErr w:type="spellEnd"/>
      <w:r w:rsidR="00EC619C" w:rsidRPr="00DC74EF">
        <w:t xml:space="preserve"> spike-ins for libraries containing sequences with low base diversity.</w:t>
      </w:r>
    </w:p>
    <w:p w14:paraId="0FF9DB05" w14:textId="2CDE579E" w:rsidR="00250662" w:rsidRPr="00DC74EF" w:rsidRDefault="00250662" w:rsidP="00DC74EF">
      <w:pPr>
        <w:pStyle w:val="ListParagraph"/>
        <w:numPr>
          <w:ilvl w:val="0"/>
          <w:numId w:val="1"/>
        </w:numPr>
      </w:pPr>
      <w:r w:rsidRPr="00DC74EF">
        <w:t xml:space="preserve">The best buffer to </w:t>
      </w:r>
      <w:r w:rsidRPr="00DC74EF">
        <w:rPr>
          <w:rFonts w:ascii="Arial" w:hAnsi="Arial" w:cs="Arial"/>
        </w:rPr>
        <w:t>​</w:t>
      </w:r>
      <w:r w:rsidRPr="00DC74EF">
        <w:t>store and submit libraries is 10 mM Tris</w:t>
      </w:r>
      <w:r w:rsidRPr="00DC74EF">
        <w:rPr>
          <w:rFonts w:ascii="Arial" w:hAnsi="Arial" w:cs="Arial"/>
        </w:rPr>
        <w:t>​</w:t>
      </w:r>
      <w:r w:rsidRPr="00DC74EF">
        <w:t xml:space="preserve">/0.01% Tween-20 </w:t>
      </w:r>
      <w:proofErr w:type="spellStart"/>
      <w:r w:rsidRPr="00DC74EF">
        <w:t>ph</w:t>
      </w:r>
      <w:proofErr w:type="spellEnd"/>
      <w:r w:rsidRPr="00DC74EF">
        <w:t>=8.0 or 8.4</w:t>
      </w:r>
      <w:r w:rsidRPr="00DC74EF">
        <w:rPr>
          <w:rFonts w:ascii="Arial" w:hAnsi="Arial" w:cs="Arial"/>
        </w:rPr>
        <w:t>​</w:t>
      </w:r>
      <w:r w:rsidRPr="00DC74EF">
        <w:t>, but EB buffer is also acceptable</w:t>
      </w:r>
      <w:r w:rsidRPr="00DC74EF">
        <w:rPr>
          <w:rFonts w:ascii="Arial" w:hAnsi="Arial" w:cs="Arial"/>
        </w:rPr>
        <w:t>​​</w:t>
      </w:r>
      <w:r w:rsidRPr="00DC74EF">
        <w:t>.</w:t>
      </w:r>
    </w:p>
    <w:p w14:paraId="1FD8DD08" w14:textId="064F9545" w:rsidR="00250662" w:rsidRPr="00DC74EF" w:rsidRDefault="00DC74EF" w:rsidP="00DC74EF">
      <w:pPr>
        <w:pStyle w:val="ListParagraph"/>
        <w:numPr>
          <w:ilvl w:val="0"/>
          <w:numId w:val="1"/>
        </w:numPr>
      </w:pPr>
      <w:r>
        <w:t>U</w:t>
      </w:r>
      <w:r w:rsidR="00250662" w:rsidRPr="00DC74EF">
        <w:t xml:space="preserve">se 1.5 ml </w:t>
      </w:r>
      <w:r>
        <w:t xml:space="preserve">– 2.0 ml </w:t>
      </w:r>
      <w:r w:rsidR="00250662" w:rsidRPr="00DC74EF">
        <w:t>low-bind tubes</w:t>
      </w:r>
      <w:r w:rsidR="006143C4">
        <w:t xml:space="preserve"> to ship your libraries. </w:t>
      </w:r>
    </w:p>
    <w:p w14:paraId="536FD2D6" w14:textId="361E3E5A" w:rsidR="00250662" w:rsidRPr="00DC74EF" w:rsidRDefault="00250662" w:rsidP="00DC74EF">
      <w:pPr>
        <w:pStyle w:val="ListParagraph"/>
        <w:numPr>
          <w:ilvl w:val="0"/>
          <w:numId w:val="1"/>
        </w:numPr>
      </w:pPr>
      <w:r w:rsidRPr="00DC74EF">
        <w:t xml:space="preserve">Please note, the DNA insert size(s) should not exceed 700 bp and most Illumina adapters add about 120 bases to the fragment length as observed on the Bioanalyzer. When submitting your libraries for sequencing, provide the </w:t>
      </w:r>
      <w:r w:rsidR="00ED7148">
        <w:t>b</w:t>
      </w:r>
      <w:r w:rsidRPr="00DC74EF">
        <w:t xml:space="preserve">ioanalyzer profile, library prep methods, and index sequences used. We will measure the quantity of your libraries using </w:t>
      </w:r>
      <w:r w:rsidR="00DC74EF">
        <w:t>qPCR</w:t>
      </w:r>
      <w:r w:rsidR="00ED4771">
        <w:t>.</w:t>
      </w:r>
    </w:p>
    <w:p w14:paraId="68597283" w14:textId="2E6A87D2" w:rsidR="00C24781" w:rsidRDefault="00ED58E4" w:rsidP="00DC74EF">
      <w:pPr>
        <w:pStyle w:val="ListParagraph"/>
        <w:numPr>
          <w:ilvl w:val="0"/>
          <w:numId w:val="1"/>
        </w:numPr>
      </w:pPr>
      <w:r w:rsidRPr="00DC74EF">
        <w:t xml:space="preserve">It is recommended to measure concentration using fluorescence-based assays such as Qubit. We strongly </w:t>
      </w:r>
      <w:r w:rsidR="005E1159" w:rsidRPr="00DC74EF">
        <w:t>advise</w:t>
      </w:r>
      <w:r w:rsidRPr="00DC74EF">
        <w:t xml:space="preserve"> not to use Nanodrop since UV-based measurements are in general inaccurate and may result in significant overestimation, even by orders of magnitude!</w:t>
      </w:r>
    </w:p>
    <w:p w14:paraId="19120A90" w14:textId="77777777" w:rsidR="00DC74EF" w:rsidRDefault="00DC74EF" w:rsidP="00DC74EF">
      <w:pPr>
        <w:pStyle w:val="ListParagraph"/>
        <w:numPr>
          <w:ilvl w:val="0"/>
          <w:numId w:val="1"/>
        </w:numPr>
      </w:pPr>
      <w:r>
        <w:t xml:space="preserve">We cannot guarantee </w:t>
      </w:r>
      <w:proofErr w:type="gramStart"/>
      <w:r>
        <w:t>the</w:t>
      </w:r>
      <w:proofErr w:type="gramEnd"/>
      <w:r>
        <w:t xml:space="preserve"> run yield if your libraries do not meet any of the above criteria. </w:t>
      </w:r>
    </w:p>
    <w:p w14:paraId="60DF17CE" w14:textId="6AAA4839" w:rsidR="006143C4" w:rsidRDefault="006143C4" w:rsidP="006143C4">
      <w:pPr>
        <w:pStyle w:val="ListParagraph"/>
        <w:numPr>
          <w:ilvl w:val="0"/>
          <w:numId w:val="1"/>
        </w:numPr>
      </w:pPr>
      <w:r w:rsidRPr="00DC74EF">
        <w:t xml:space="preserve">Lower sequencing yield is the likely outcome for library concentrations 1 </w:t>
      </w:r>
      <w:proofErr w:type="spellStart"/>
      <w:r w:rsidRPr="00DC74EF">
        <w:t>nM</w:t>
      </w:r>
      <w:proofErr w:type="spellEnd"/>
      <w:r w:rsidRPr="00DC74EF">
        <w:t xml:space="preserve"> or less, and we cannot guarantee the data quantity or quality for such libraries.</w:t>
      </w:r>
    </w:p>
    <w:p w14:paraId="62206576" w14:textId="0CD9C2C7" w:rsidR="00DC74EF" w:rsidRDefault="00DC74EF" w:rsidP="00DC74EF">
      <w:pPr>
        <w:pStyle w:val="ListParagraph"/>
        <w:numPr>
          <w:ilvl w:val="0"/>
          <w:numId w:val="1"/>
        </w:numPr>
      </w:pPr>
      <w:r>
        <w:t xml:space="preserve">We will only rerun sequencing for your libraries if we notice an issue with the sequencer or the sequencing reagents. </w:t>
      </w:r>
    </w:p>
    <w:p w14:paraId="5C0E81F7" w14:textId="77777777" w:rsidR="00ED7148" w:rsidRDefault="00ED7148" w:rsidP="00ED7148">
      <w:pPr>
        <w:pStyle w:val="ListParagraph"/>
      </w:pPr>
    </w:p>
    <w:p w14:paraId="09587EA1" w14:textId="77777777" w:rsidR="00ED7148" w:rsidRPr="00ED7148" w:rsidRDefault="00ED7148" w:rsidP="00ED7148">
      <w:pPr>
        <w:rPr>
          <w:b/>
          <w:bCs/>
        </w:rPr>
      </w:pPr>
      <w:r w:rsidRPr="00ED7148">
        <w:rPr>
          <w:b/>
          <w:bCs/>
        </w:rPr>
        <w:t>Required information</w:t>
      </w:r>
    </w:p>
    <w:p w14:paraId="785CB656" w14:textId="58F866CB" w:rsidR="00DC74EF" w:rsidRDefault="00DC74EF">
      <w:r>
        <w:t>Library type</w:t>
      </w:r>
      <w:r w:rsidR="006143C4">
        <w:t>:</w:t>
      </w:r>
    </w:p>
    <w:p w14:paraId="4E009997" w14:textId="4C8C5801" w:rsidR="00C24781" w:rsidRDefault="00C24781">
      <w:r>
        <w:t>Library kit used</w:t>
      </w:r>
      <w:r w:rsidR="006143C4">
        <w:t>:</w:t>
      </w:r>
    </w:p>
    <w:p w14:paraId="75845DE8" w14:textId="4633BAF0" w:rsidR="00C24781" w:rsidRDefault="00ED58E4">
      <w:r>
        <w:t xml:space="preserve">% </w:t>
      </w:r>
      <w:proofErr w:type="spellStart"/>
      <w:proofErr w:type="gramStart"/>
      <w:r>
        <w:t>Phix</w:t>
      </w:r>
      <w:proofErr w:type="spellEnd"/>
      <w:r>
        <w:t xml:space="preserve"> </w:t>
      </w:r>
      <w:r w:rsidR="006143C4">
        <w:t>:</w:t>
      </w:r>
      <w:proofErr w:type="gramEnd"/>
    </w:p>
    <w:p w14:paraId="17D66687" w14:textId="322F5E19" w:rsidR="00ED58E4" w:rsidRDefault="00ED58E4">
      <w:r>
        <w:t>Custom primer</w:t>
      </w:r>
      <w:r w:rsidR="00ED7148">
        <w:t xml:space="preserve"> needed</w:t>
      </w:r>
      <w:r w:rsidR="006143C4">
        <w:t xml:space="preserve">: Yes  </w:t>
      </w:r>
      <w:r w:rsidR="006143C4">
        <w:rPr>
          <w:noProof/>
        </w:rPr>
        <w:drawing>
          <wp:inline distT="0" distB="0" distL="0" distR="0" wp14:anchorId="583E5CF3" wp14:editId="7984866A">
            <wp:extent cx="84569" cy="116386"/>
            <wp:effectExtent l="0" t="0" r="0" b="0"/>
            <wp:docPr id="1812990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085" cy="130859"/>
                    </a:xfrm>
                    <a:prstGeom prst="rect">
                      <a:avLst/>
                    </a:prstGeom>
                    <a:noFill/>
                  </pic:spPr>
                </pic:pic>
              </a:graphicData>
            </a:graphic>
          </wp:inline>
        </w:drawing>
      </w:r>
      <w:r w:rsidR="006143C4">
        <w:t xml:space="preserve">   No </w:t>
      </w:r>
      <w:r w:rsidR="00214301">
        <w:rPr>
          <w:noProof/>
        </w:rPr>
        <w:drawing>
          <wp:inline distT="0" distB="0" distL="0" distR="0" wp14:anchorId="1EC8B01B" wp14:editId="1418AF10">
            <wp:extent cx="84569" cy="116386"/>
            <wp:effectExtent l="0" t="0" r="0" b="0"/>
            <wp:docPr id="1055580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085" cy="130859"/>
                    </a:xfrm>
                    <a:prstGeom prst="rect">
                      <a:avLst/>
                    </a:prstGeom>
                    <a:noFill/>
                  </pic:spPr>
                </pic:pic>
              </a:graphicData>
            </a:graphic>
          </wp:inline>
        </w:drawing>
      </w:r>
    </w:p>
    <w:p w14:paraId="5F71955F" w14:textId="3EA6B0CB" w:rsidR="00693DE4" w:rsidRDefault="002C0F0A">
      <w:r>
        <w:t>Any special run set up parameters:</w:t>
      </w:r>
    </w:p>
    <w:tbl>
      <w:tblPr>
        <w:tblW w:w="5575" w:type="dxa"/>
        <w:tblLook w:val="04A0" w:firstRow="1" w:lastRow="0" w:firstColumn="1" w:lastColumn="0" w:noHBand="0" w:noVBand="1"/>
      </w:tblPr>
      <w:tblGrid>
        <w:gridCol w:w="2245"/>
        <w:gridCol w:w="1080"/>
        <w:gridCol w:w="2250"/>
      </w:tblGrid>
      <w:tr w:rsidR="00693DE4" w:rsidRPr="00693DE4" w14:paraId="29A0DDF8" w14:textId="77777777" w:rsidTr="00693DE4">
        <w:trPr>
          <w:trHeight w:val="290"/>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0AC8F" w14:textId="77777777" w:rsidR="00693DE4" w:rsidRPr="00693DE4" w:rsidRDefault="00693DE4" w:rsidP="00693DE4">
            <w:pPr>
              <w:spacing w:after="0" w:line="240" w:lineRule="auto"/>
              <w:rPr>
                <w:rFonts w:ascii="Calibri" w:eastAsia="Times New Roman" w:hAnsi="Calibri" w:cs="Calibri"/>
                <w:b/>
                <w:bCs/>
                <w:kern w:val="0"/>
                <w14:ligatures w14:val="none"/>
              </w:rPr>
            </w:pPr>
            <w:r w:rsidRPr="00693DE4">
              <w:rPr>
                <w:rFonts w:ascii="Calibri" w:eastAsia="Times New Roman" w:hAnsi="Calibri" w:cs="Calibri"/>
                <w:b/>
                <w:bCs/>
                <w:kern w:val="0"/>
                <w14:ligatures w14:val="none"/>
              </w:rPr>
              <w:t>Sequencing platform</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A28CF1A" w14:textId="77777777" w:rsidR="00693DE4" w:rsidRPr="00693DE4" w:rsidRDefault="00693DE4" w:rsidP="00693DE4">
            <w:pPr>
              <w:spacing w:after="0" w:line="240" w:lineRule="auto"/>
              <w:rPr>
                <w:rFonts w:ascii="Calibri" w:eastAsia="Times New Roman" w:hAnsi="Calibri" w:cs="Calibri"/>
                <w:b/>
                <w:bCs/>
                <w:kern w:val="0"/>
                <w14:ligatures w14:val="none"/>
              </w:rPr>
            </w:pPr>
            <w:r w:rsidRPr="00693DE4">
              <w:rPr>
                <w:rFonts w:ascii="Calibri" w:eastAsia="Times New Roman" w:hAnsi="Calibri" w:cs="Calibri"/>
                <w:b/>
                <w:bCs/>
                <w:kern w:val="0"/>
                <w14:ligatures w14:val="none"/>
              </w:rPr>
              <w:t>Volume</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4A9DFA87" w14:textId="77777777" w:rsidR="00693DE4" w:rsidRPr="00693DE4" w:rsidRDefault="00693DE4" w:rsidP="00693DE4">
            <w:pPr>
              <w:spacing w:after="0" w:line="240" w:lineRule="auto"/>
              <w:rPr>
                <w:rFonts w:ascii="Calibri" w:eastAsia="Times New Roman" w:hAnsi="Calibri" w:cs="Calibri"/>
                <w:b/>
                <w:bCs/>
                <w:kern w:val="0"/>
                <w14:ligatures w14:val="none"/>
              </w:rPr>
            </w:pPr>
            <w:r w:rsidRPr="00693DE4">
              <w:rPr>
                <w:rFonts w:ascii="Calibri" w:eastAsia="Times New Roman" w:hAnsi="Calibri" w:cs="Calibri"/>
                <w:b/>
                <w:bCs/>
                <w:kern w:val="0"/>
                <w14:ligatures w14:val="none"/>
              </w:rPr>
              <w:t>Library concentration</w:t>
            </w:r>
          </w:p>
        </w:tc>
      </w:tr>
      <w:tr w:rsidR="00693DE4" w:rsidRPr="00693DE4" w14:paraId="55175FA2" w14:textId="77777777" w:rsidTr="00693DE4">
        <w:trPr>
          <w:trHeight w:val="290"/>
        </w:trPr>
        <w:tc>
          <w:tcPr>
            <w:tcW w:w="2245" w:type="dxa"/>
            <w:tcBorders>
              <w:top w:val="nil"/>
              <w:left w:val="single" w:sz="4" w:space="0" w:color="auto"/>
              <w:bottom w:val="single" w:sz="4" w:space="0" w:color="auto"/>
              <w:right w:val="single" w:sz="4" w:space="0" w:color="auto"/>
            </w:tcBorders>
            <w:shd w:val="clear" w:color="000000" w:fill="FFFFFF"/>
            <w:noWrap/>
            <w:vAlign w:val="center"/>
            <w:hideMark/>
          </w:tcPr>
          <w:p w14:paraId="05CAEDD9" w14:textId="77777777" w:rsidR="00693DE4" w:rsidRPr="00693DE4" w:rsidRDefault="00693DE4" w:rsidP="00693DE4">
            <w:pPr>
              <w:spacing w:after="0" w:line="240" w:lineRule="auto"/>
              <w:jc w:val="center"/>
              <w:rPr>
                <w:rFonts w:ascii="Calibri" w:eastAsia="Times New Roman" w:hAnsi="Calibri" w:cs="Calibri"/>
                <w:color w:val="000000"/>
                <w:kern w:val="0"/>
                <w14:ligatures w14:val="none"/>
              </w:rPr>
            </w:pPr>
            <w:proofErr w:type="spellStart"/>
            <w:r w:rsidRPr="00693DE4">
              <w:rPr>
                <w:rFonts w:ascii="Calibri" w:eastAsia="Times New Roman" w:hAnsi="Calibri" w:cs="Calibri"/>
                <w:color w:val="000000"/>
                <w:kern w:val="0"/>
                <w14:ligatures w14:val="none"/>
              </w:rPr>
              <w:t>NovaSeq</w:t>
            </w:r>
            <w:proofErr w:type="spellEnd"/>
            <w:r w:rsidRPr="00693DE4">
              <w:rPr>
                <w:rFonts w:ascii="Calibri" w:eastAsia="Times New Roman" w:hAnsi="Calibri" w:cs="Calibri"/>
                <w:color w:val="000000"/>
                <w:kern w:val="0"/>
                <w14:ligatures w14:val="none"/>
              </w:rPr>
              <w:t xml:space="preserve"> </w:t>
            </w:r>
            <w:proofErr w:type="spellStart"/>
            <w:r w:rsidRPr="00693DE4">
              <w:rPr>
                <w:rFonts w:ascii="Calibri" w:eastAsia="Times New Roman" w:hAnsi="Calibri" w:cs="Calibri"/>
                <w:color w:val="000000"/>
                <w:kern w:val="0"/>
                <w14:ligatures w14:val="none"/>
              </w:rPr>
              <w:t>Xplus</w:t>
            </w:r>
            <w:proofErr w:type="spellEnd"/>
          </w:p>
        </w:tc>
        <w:tc>
          <w:tcPr>
            <w:tcW w:w="1080" w:type="dxa"/>
            <w:tcBorders>
              <w:top w:val="nil"/>
              <w:left w:val="nil"/>
              <w:bottom w:val="single" w:sz="4" w:space="0" w:color="auto"/>
              <w:right w:val="single" w:sz="4" w:space="0" w:color="auto"/>
            </w:tcBorders>
            <w:shd w:val="clear" w:color="000000" w:fill="FFFFFF"/>
            <w:noWrap/>
            <w:vAlign w:val="center"/>
            <w:hideMark/>
          </w:tcPr>
          <w:p w14:paraId="55134F6F" w14:textId="77777777" w:rsidR="00693DE4" w:rsidRPr="00693DE4" w:rsidRDefault="00693DE4" w:rsidP="00693DE4">
            <w:pPr>
              <w:spacing w:after="0" w:line="240" w:lineRule="auto"/>
              <w:jc w:val="center"/>
              <w:rPr>
                <w:rFonts w:ascii="Calibri" w:eastAsia="Times New Roman" w:hAnsi="Calibri" w:cs="Calibri"/>
                <w:color w:val="000000"/>
                <w:kern w:val="0"/>
                <w14:ligatures w14:val="none"/>
              </w:rPr>
            </w:pPr>
            <w:r w:rsidRPr="00693DE4">
              <w:rPr>
                <w:rFonts w:ascii="Calibri" w:eastAsia="Times New Roman" w:hAnsi="Calibri" w:cs="Calibri"/>
                <w:color w:val="000000"/>
                <w:kern w:val="0"/>
                <w14:ligatures w14:val="none"/>
              </w:rPr>
              <w:t>150 ul</w:t>
            </w:r>
          </w:p>
        </w:tc>
        <w:tc>
          <w:tcPr>
            <w:tcW w:w="2250" w:type="dxa"/>
            <w:tcBorders>
              <w:top w:val="nil"/>
              <w:left w:val="nil"/>
              <w:bottom w:val="single" w:sz="4" w:space="0" w:color="auto"/>
              <w:right w:val="single" w:sz="4" w:space="0" w:color="auto"/>
            </w:tcBorders>
            <w:shd w:val="clear" w:color="000000" w:fill="FFFFFF"/>
            <w:noWrap/>
            <w:vAlign w:val="bottom"/>
            <w:hideMark/>
          </w:tcPr>
          <w:p w14:paraId="60DB389A" w14:textId="77777777" w:rsidR="00693DE4" w:rsidRPr="00693DE4" w:rsidRDefault="00693DE4" w:rsidP="00693DE4">
            <w:pPr>
              <w:spacing w:after="0" w:line="240" w:lineRule="auto"/>
              <w:jc w:val="center"/>
              <w:rPr>
                <w:rFonts w:ascii="Calibri" w:eastAsia="Times New Roman" w:hAnsi="Calibri" w:cs="Calibri"/>
                <w:kern w:val="0"/>
                <w14:ligatures w14:val="none"/>
              </w:rPr>
            </w:pPr>
            <w:r w:rsidRPr="00693DE4">
              <w:rPr>
                <w:rFonts w:ascii="Calibri" w:eastAsia="Times New Roman" w:hAnsi="Calibri" w:cs="Calibri"/>
                <w:kern w:val="0"/>
                <w14:ligatures w14:val="none"/>
              </w:rPr>
              <w:t xml:space="preserve">4-5 </w:t>
            </w:r>
            <w:proofErr w:type="spellStart"/>
            <w:r w:rsidRPr="00693DE4">
              <w:rPr>
                <w:rFonts w:ascii="Calibri" w:eastAsia="Times New Roman" w:hAnsi="Calibri" w:cs="Calibri"/>
                <w:kern w:val="0"/>
                <w14:ligatures w14:val="none"/>
              </w:rPr>
              <w:t>nM</w:t>
            </w:r>
            <w:proofErr w:type="spellEnd"/>
          </w:p>
        </w:tc>
      </w:tr>
      <w:tr w:rsidR="00693DE4" w:rsidRPr="00693DE4" w14:paraId="59D024EA" w14:textId="77777777" w:rsidTr="00693DE4">
        <w:trPr>
          <w:trHeight w:val="290"/>
        </w:trPr>
        <w:tc>
          <w:tcPr>
            <w:tcW w:w="2245" w:type="dxa"/>
            <w:tcBorders>
              <w:top w:val="nil"/>
              <w:left w:val="single" w:sz="4" w:space="0" w:color="auto"/>
              <w:bottom w:val="single" w:sz="4" w:space="0" w:color="auto"/>
              <w:right w:val="single" w:sz="4" w:space="0" w:color="auto"/>
            </w:tcBorders>
            <w:shd w:val="clear" w:color="000000" w:fill="FFFFFF"/>
            <w:noWrap/>
            <w:vAlign w:val="center"/>
            <w:hideMark/>
          </w:tcPr>
          <w:p w14:paraId="7CBCB512" w14:textId="77777777" w:rsidR="00693DE4" w:rsidRPr="00693DE4" w:rsidRDefault="00693DE4" w:rsidP="00693DE4">
            <w:pPr>
              <w:spacing w:after="0" w:line="240" w:lineRule="auto"/>
              <w:jc w:val="center"/>
              <w:rPr>
                <w:rFonts w:ascii="Calibri" w:eastAsia="Times New Roman" w:hAnsi="Calibri" w:cs="Calibri"/>
                <w:color w:val="000000"/>
                <w:kern w:val="0"/>
                <w14:ligatures w14:val="none"/>
              </w:rPr>
            </w:pPr>
            <w:proofErr w:type="spellStart"/>
            <w:r w:rsidRPr="00693DE4">
              <w:rPr>
                <w:rFonts w:ascii="Calibri" w:eastAsia="Times New Roman" w:hAnsi="Calibri" w:cs="Calibri"/>
                <w:color w:val="000000"/>
                <w:kern w:val="0"/>
                <w14:ligatures w14:val="none"/>
              </w:rPr>
              <w:t>MiSeq</w:t>
            </w:r>
            <w:proofErr w:type="spellEnd"/>
          </w:p>
        </w:tc>
        <w:tc>
          <w:tcPr>
            <w:tcW w:w="1080" w:type="dxa"/>
            <w:tcBorders>
              <w:top w:val="nil"/>
              <w:left w:val="nil"/>
              <w:bottom w:val="single" w:sz="4" w:space="0" w:color="auto"/>
              <w:right w:val="single" w:sz="4" w:space="0" w:color="auto"/>
            </w:tcBorders>
            <w:shd w:val="clear" w:color="000000" w:fill="FFFFFF"/>
            <w:noWrap/>
            <w:vAlign w:val="center"/>
            <w:hideMark/>
          </w:tcPr>
          <w:p w14:paraId="6E7B70F7" w14:textId="77777777" w:rsidR="00693DE4" w:rsidRPr="00693DE4" w:rsidRDefault="00693DE4" w:rsidP="00693DE4">
            <w:pPr>
              <w:spacing w:after="0" w:line="240" w:lineRule="auto"/>
              <w:jc w:val="center"/>
              <w:rPr>
                <w:rFonts w:ascii="Calibri" w:eastAsia="Times New Roman" w:hAnsi="Calibri" w:cs="Calibri"/>
                <w:color w:val="000000"/>
                <w:kern w:val="0"/>
                <w14:ligatures w14:val="none"/>
              </w:rPr>
            </w:pPr>
            <w:r w:rsidRPr="00693DE4">
              <w:rPr>
                <w:rFonts w:ascii="Calibri" w:eastAsia="Times New Roman" w:hAnsi="Calibri" w:cs="Calibri"/>
                <w:color w:val="000000"/>
                <w:kern w:val="0"/>
                <w14:ligatures w14:val="none"/>
              </w:rPr>
              <w:t>10 ul</w:t>
            </w:r>
          </w:p>
        </w:tc>
        <w:tc>
          <w:tcPr>
            <w:tcW w:w="2250" w:type="dxa"/>
            <w:tcBorders>
              <w:top w:val="nil"/>
              <w:left w:val="nil"/>
              <w:bottom w:val="single" w:sz="4" w:space="0" w:color="auto"/>
              <w:right w:val="single" w:sz="4" w:space="0" w:color="auto"/>
            </w:tcBorders>
            <w:shd w:val="clear" w:color="000000" w:fill="FFFFFF"/>
            <w:noWrap/>
            <w:vAlign w:val="bottom"/>
            <w:hideMark/>
          </w:tcPr>
          <w:p w14:paraId="10A9B6A2" w14:textId="77777777" w:rsidR="00693DE4" w:rsidRPr="00693DE4" w:rsidRDefault="00693DE4" w:rsidP="00693DE4">
            <w:pPr>
              <w:spacing w:after="0" w:line="240" w:lineRule="auto"/>
              <w:jc w:val="center"/>
              <w:rPr>
                <w:rFonts w:ascii="Calibri" w:eastAsia="Times New Roman" w:hAnsi="Calibri" w:cs="Calibri"/>
                <w:kern w:val="0"/>
                <w14:ligatures w14:val="none"/>
              </w:rPr>
            </w:pPr>
            <w:r w:rsidRPr="00693DE4">
              <w:rPr>
                <w:rFonts w:ascii="Calibri" w:eastAsia="Times New Roman" w:hAnsi="Calibri" w:cs="Calibri"/>
                <w:kern w:val="0"/>
                <w14:ligatures w14:val="none"/>
              </w:rPr>
              <w:t xml:space="preserve">2-3 </w:t>
            </w:r>
            <w:proofErr w:type="spellStart"/>
            <w:r w:rsidRPr="00693DE4">
              <w:rPr>
                <w:rFonts w:ascii="Calibri" w:eastAsia="Times New Roman" w:hAnsi="Calibri" w:cs="Calibri"/>
                <w:kern w:val="0"/>
                <w14:ligatures w14:val="none"/>
              </w:rPr>
              <w:t>nM</w:t>
            </w:r>
            <w:proofErr w:type="spellEnd"/>
          </w:p>
        </w:tc>
      </w:tr>
      <w:tr w:rsidR="00693DE4" w:rsidRPr="00693DE4" w14:paraId="1B0F4D45" w14:textId="77777777" w:rsidTr="00693DE4">
        <w:trPr>
          <w:trHeight w:val="290"/>
        </w:trPr>
        <w:tc>
          <w:tcPr>
            <w:tcW w:w="2245" w:type="dxa"/>
            <w:tcBorders>
              <w:top w:val="nil"/>
              <w:left w:val="single" w:sz="4" w:space="0" w:color="auto"/>
              <w:bottom w:val="single" w:sz="4" w:space="0" w:color="auto"/>
              <w:right w:val="single" w:sz="4" w:space="0" w:color="auto"/>
            </w:tcBorders>
            <w:shd w:val="clear" w:color="000000" w:fill="FFFFFF"/>
            <w:noWrap/>
            <w:vAlign w:val="bottom"/>
            <w:hideMark/>
          </w:tcPr>
          <w:p w14:paraId="21250A77" w14:textId="26F25581" w:rsidR="00693DE4" w:rsidRPr="00693DE4" w:rsidRDefault="00693DE4" w:rsidP="00693DE4">
            <w:pPr>
              <w:spacing w:after="0" w:line="240" w:lineRule="auto"/>
              <w:jc w:val="center"/>
              <w:rPr>
                <w:rFonts w:ascii="Calibri" w:eastAsia="Times New Roman" w:hAnsi="Calibri" w:cs="Calibri"/>
                <w:kern w:val="0"/>
                <w14:ligatures w14:val="none"/>
              </w:rPr>
            </w:pPr>
            <w:proofErr w:type="spellStart"/>
            <w:r w:rsidRPr="00693DE4">
              <w:rPr>
                <w:rFonts w:ascii="Calibri" w:eastAsia="Times New Roman" w:hAnsi="Calibri" w:cs="Calibri"/>
                <w:kern w:val="0"/>
                <w14:ligatures w14:val="none"/>
              </w:rPr>
              <w:t>NextSeq</w:t>
            </w:r>
            <w:proofErr w:type="spellEnd"/>
            <w:r w:rsidR="00B64178">
              <w:rPr>
                <w:rFonts w:ascii="Calibri" w:eastAsia="Times New Roman" w:hAnsi="Calibri" w:cs="Calibri"/>
                <w:kern w:val="0"/>
                <w14:ligatures w14:val="none"/>
              </w:rPr>
              <w:t xml:space="preserve"> 2000</w:t>
            </w:r>
          </w:p>
        </w:tc>
        <w:tc>
          <w:tcPr>
            <w:tcW w:w="1080" w:type="dxa"/>
            <w:tcBorders>
              <w:top w:val="nil"/>
              <w:left w:val="nil"/>
              <w:bottom w:val="single" w:sz="4" w:space="0" w:color="auto"/>
              <w:right w:val="single" w:sz="4" w:space="0" w:color="auto"/>
            </w:tcBorders>
            <w:shd w:val="clear" w:color="000000" w:fill="FFFFFF"/>
            <w:noWrap/>
            <w:vAlign w:val="bottom"/>
            <w:hideMark/>
          </w:tcPr>
          <w:p w14:paraId="250F2876" w14:textId="77777777" w:rsidR="00693DE4" w:rsidRPr="00693DE4" w:rsidRDefault="00693DE4" w:rsidP="00693DE4">
            <w:pPr>
              <w:spacing w:after="0" w:line="240" w:lineRule="auto"/>
              <w:jc w:val="center"/>
              <w:rPr>
                <w:rFonts w:ascii="Calibri" w:eastAsia="Times New Roman" w:hAnsi="Calibri" w:cs="Calibri"/>
                <w:kern w:val="0"/>
                <w14:ligatures w14:val="none"/>
              </w:rPr>
            </w:pPr>
            <w:r w:rsidRPr="00693DE4">
              <w:rPr>
                <w:rFonts w:ascii="Calibri" w:eastAsia="Times New Roman" w:hAnsi="Calibri" w:cs="Calibri"/>
                <w:kern w:val="0"/>
                <w14:ligatures w14:val="none"/>
              </w:rPr>
              <w:t>10 ul</w:t>
            </w:r>
          </w:p>
        </w:tc>
        <w:tc>
          <w:tcPr>
            <w:tcW w:w="2250" w:type="dxa"/>
            <w:tcBorders>
              <w:top w:val="nil"/>
              <w:left w:val="nil"/>
              <w:bottom w:val="single" w:sz="4" w:space="0" w:color="auto"/>
              <w:right w:val="single" w:sz="4" w:space="0" w:color="auto"/>
            </w:tcBorders>
            <w:shd w:val="clear" w:color="000000" w:fill="FFFFFF"/>
            <w:noWrap/>
            <w:vAlign w:val="bottom"/>
            <w:hideMark/>
          </w:tcPr>
          <w:p w14:paraId="518FF74E" w14:textId="77777777" w:rsidR="00693DE4" w:rsidRPr="00693DE4" w:rsidRDefault="00693DE4" w:rsidP="00693DE4">
            <w:pPr>
              <w:spacing w:after="0" w:line="240" w:lineRule="auto"/>
              <w:jc w:val="center"/>
              <w:rPr>
                <w:rFonts w:ascii="Calibri" w:eastAsia="Times New Roman" w:hAnsi="Calibri" w:cs="Calibri"/>
                <w:kern w:val="0"/>
                <w14:ligatures w14:val="none"/>
              </w:rPr>
            </w:pPr>
            <w:r w:rsidRPr="00693DE4">
              <w:rPr>
                <w:rFonts w:ascii="Calibri" w:eastAsia="Times New Roman" w:hAnsi="Calibri" w:cs="Calibri"/>
                <w:kern w:val="0"/>
                <w14:ligatures w14:val="none"/>
              </w:rPr>
              <w:t xml:space="preserve">2-3 </w:t>
            </w:r>
            <w:proofErr w:type="spellStart"/>
            <w:r w:rsidRPr="00693DE4">
              <w:rPr>
                <w:rFonts w:ascii="Calibri" w:eastAsia="Times New Roman" w:hAnsi="Calibri" w:cs="Calibri"/>
                <w:kern w:val="0"/>
                <w14:ligatures w14:val="none"/>
              </w:rPr>
              <w:t>nM</w:t>
            </w:r>
            <w:proofErr w:type="spellEnd"/>
          </w:p>
        </w:tc>
      </w:tr>
    </w:tbl>
    <w:p w14:paraId="72C2B992" w14:textId="77777777" w:rsidR="00693DE4" w:rsidRDefault="00693DE4"/>
    <w:p w14:paraId="76858D37" w14:textId="5E2DB75D" w:rsidR="00ED58E4" w:rsidRDefault="00ED58E4"/>
    <w:p w14:paraId="7458B35E" w14:textId="77777777" w:rsidR="00ED58E4" w:rsidRDefault="00ED58E4"/>
    <w:sectPr w:rsidR="00ED5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E0A86"/>
    <w:multiLevelType w:val="hybridMultilevel"/>
    <w:tmpl w:val="B748F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31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9C"/>
    <w:rsid w:val="000A5DF1"/>
    <w:rsid w:val="001465AB"/>
    <w:rsid w:val="00214301"/>
    <w:rsid w:val="00250662"/>
    <w:rsid w:val="002C0F0A"/>
    <w:rsid w:val="005269F8"/>
    <w:rsid w:val="005E1159"/>
    <w:rsid w:val="006143C4"/>
    <w:rsid w:val="00655447"/>
    <w:rsid w:val="00693DE4"/>
    <w:rsid w:val="006C27B6"/>
    <w:rsid w:val="0078443C"/>
    <w:rsid w:val="009948AB"/>
    <w:rsid w:val="009C19A9"/>
    <w:rsid w:val="00B64178"/>
    <w:rsid w:val="00C24781"/>
    <w:rsid w:val="00C54B3F"/>
    <w:rsid w:val="00C74866"/>
    <w:rsid w:val="00DC74EF"/>
    <w:rsid w:val="00EC619C"/>
    <w:rsid w:val="00ED4771"/>
    <w:rsid w:val="00ED58E4"/>
    <w:rsid w:val="00ED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3DD1"/>
  <w15:chartTrackingRefBased/>
  <w15:docId w15:val="{8CDEC647-4C66-4A86-B757-968DD1CD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19C"/>
    <w:rPr>
      <w:rFonts w:eastAsiaTheme="majorEastAsia" w:cstheme="majorBidi"/>
      <w:color w:val="272727" w:themeColor="text1" w:themeTint="D8"/>
    </w:rPr>
  </w:style>
  <w:style w:type="paragraph" w:styleId="Title">
    <w:name w:val="Title"/>
    <w:basedOn w:val="Normal"/>
    <w:next w:val="Normal"/>
    <w:link w:val="TitleChar"/>
    <w:uiPriority w:val="10"/>
    <w:qFormat/>
    <w:rsid w:val="00EC6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19C"/>
    <w:pPr>
      <w:spacing w:before="160"/>
      <w:jc w:val="center"/>
    </w:pPr>
    <w:rPr>
      <w:i/>
      <w:iCs/>
      <w:color w:val="404040" w:themeColor="text1" w:themeTint="BF"/>
    </w:rPr>
  </w:style>
  <w:style w:type="character" w:customStyle="1" w:styleId="QuoteChar">
    <w:name w:val="Quote Char"/>
    <w:basedOn w:val="DefaultParagraphFont"/>
    <w:link w:val="Quote"/>
    <w:uiPriority w:val="29"/>
    <w:rsid w:val="00EC619C"/>
    <w:rPr>
      <w:i/>
      <w:iCs/>
      <w:color w:val="404040" w:themeColor="text1" w:themeTint="BF"/>
    </w:rPr>
  </w:style>
  <w:style w:type="paragraph" w:styleId="ListParagraph">
    <w:name w:val="List Paragraph"/>
    <w:basedOn w:val="Normal"/>
    <w:uiPriority w:val="34"/>
    <w:qFormat/>
    <w:rsid w:val="00EC619C"/>
    <w:pPr>
      <w:ind w:left="720"/>
      <w:contextualSpacing/>
    </w:pPr>
  </w:style>
  <w:style w:type="character" w:styleId="IntenseEmphasis">
    <w:name w:val="Intense Emphasis"/>
    <w:basedOn w:val="DefaultParagraphFont"/>
    <w:uiPriority w:val="21"/>
    <w:qFormat/>
    <w:rsid w:val="00EC619C"/>
    <w:rPr>
      <w:i/>
      <w:iCs/>
      <w:color w:val="0F4761" w:themeColor="accent1" w:themeShade="BF"/>
    </w:rPr>
  </w:style>
  <w:style w:type="paragraph" w:styleId="IntenseQuote">
    <w:name w:val="Intense Quote"/>
    <w:basedOn w:val="Normal"/>
    <w:next w:val="Normal"/>
    <w:link w:val="IntenseQuoteChar"/>
    <w:uiPriority w:val="30"/>
    <w:qFormat/>
    <w:rsid w:val="00EC6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19C"/>
    <w:rPr>
      <w:i/>
      <w:iCs/>
      <w:color w:val="0F4761" w:themeColor="accent1" w:themeShade="BF"/>
    </w:rPr>
  </w:style>
  <w:style w:type="character" w:styleId="IntenseReference">
    <w:name w:val="Intense Reference"/>
    <w:basedOn w:val="DefaultParagraphFont"/>
    <w:uiPriority w:val="32"/>
    <w:qFormat/>
    <w:rsid w:val="00EC619C"/>
    <w:rPr>
      <w:b/>
      <w:bCs/>
      <w:smallCaps/>
      <w:color w:val="0F4761" w:themeColor="accent1" w:themeShade="BF"/>
      <w:spacing w:val="5"/>
    </w:rPr>
  </w:style>
  <w:style w:type="character" w:styleId="Hyperlink">
    <w:name w:val="Hyperlink"/>
    <w:basedOn w:val="DefaultParagraphFont"/>
    <w:uiPriority w:val="99"/>
    <w:unhideWhenUsed/>
    <w:rsid w:val="00ED58E4"/>
    <w:rPr>
      <w:color w:val="467886" w:themeColor="hyperlink"/>
      <w:u w:val="single"/>
    </w:rPr>
  </w:style>
  <w:style w:type="character" w:styleId="UnresolvedMention">
    <w:name w:val="Unresolved Mention"/>
    <w:basedOn w:val="DefaultParagraphFont"/>
    <w:uiPriority w:val="99"/>
    <w:semiHidden/>
    <w:unhideWhenUsed/>
    <w:rsid w:val="00ED5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91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Shetty, Jyoti (NIH/NCI) [C]</dc:creator>
  <cp:keywords/>
  <dc:description/>
  <cp:lastModifiedBy>Shetty, Jyoti (NIH/NCI) [C]</cp:lastModifiedBy>
  <cp:revision>2</cp:revision>
  <dcterms:created xsi:type="dcterms:W3CDTF">2025-09-05T15:43:00Z</dcterms:created>
  <dcterms:modified xsi:type="dcterms:W3CDTF">2025-09-05T15:43:00Z</dcterms:modified>
</cp:coreProperties>
</file>